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D3DB" w14:textId="2A2D2532" w:rsidR="0053785B" w:rsidRDefault="00AD0BCA" w:rsidP="0053785B">
      <w:pPr>
        <w:spacing w:after="0" w:line="240" w:lineRule="auto"/>
        <w:jc w:val="center"/>
        <w:rPr>
          <w:rFonts w:ascii="Times New Roman" w:eastAsia="Times New Roman" w:hAnsi="Times New Roman" w:cs="Times New Roman"/>
          <w:noProof/>
          <w:sz w:val="44"/>
          <w:szCs w:val="44"/>
          <w:lang w:eastAsia="it-IT"/>
        </w:rPr>
      </w:pPr>
      <w:r w:rsidRPr="00AD0BCA">
        <w:rPr>
          <w:rFonts w:ascii="Times New Roman" w:eastAsia="Times New Roman" w:hAnsi="Times New Roman" w:cs="Times New Roman"/>
          <w:noProof/>
          <w:sz w:val="44"/>
          <w:szCs w:val="44"/>
          <w:lang w:eastAsia="it-IT"/>
        </w:rPr>
        <w:t xml:space="preserve">INTESTAZIONE </w:t>
      </w:r>
    </w:p>
    <w:p w14:paraId="00475F71" w14:textId="77777777" w:rsidR="00AD0BCA" w:rsidRPr="00AD0BCA" w:rsidRDefault="00AD0BCA" w:rsidP="0053785B">
      <w:pPr>
        <w:spacing w:after="0" w:line="240" w:lineRule="auto"/>
        <w:jc w:val="center"/>
        <w:rPr>
          <w:rFonts w:ascii="Times New Roman" w:eastAsia="Times New Roman" w:hAnsi="Times New Roman" w:cs="Times New Roman"/>
          <w:sz w:val="44"/>
          <w:szCs w:val="44"/>
          <w:lang w:eastAsia="it-IT"/>
        </w:rPr>
      </w:pPr>
    </w:p>
    <w:p w14:paraId="37394A4E" w14:textId="77777777" w:rsidR="00E0502A" w:rsidRPr="0053785B" w:rsidRDefault="00E0502A" w:rsidP="00BF5CE1">
      <w:pPr>
        <w:spacing w:after="0" w:line="240" w:lineRule="auto"/>
        <w:rPr>
          <w:rFonts w:ascii="Times New Roman" w:hAnsi="Times New Roman" w:cs="Times New Roman"/>
          <w:sz w:val="12"/>
          <w:szCs w:val="12"/>
        </w:rPr>
      </w:pPr>
    </w:p>
    <w:tbl>
      <w:tblPr>
        <w:tblStyle w:val="Grigliatabel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47"/>
      </w:tblGrid>
      <w:tr w:rsidR="0053785B" w:rsidRPr="0053785B" w14:paraId="0A2CC220" w14:textId="77777777" w:rsidTr="003A7AA0">
        <w:tc>
          <w:tcPr>
            <w:tcW w:w="9747" w:type="dxa"/>
          </w:tcPr>
          <w:p w14:paraId="2BE472B2" w14:textId="77777777" w:rsidR="0053785B" w:rsidRPr="0053785B" w:rsidRDefault="0053785B" w:rsidP="0053785B">
            <w:pPr>
              <w:jc w:val="center"/>
              <w:rPr>
                <w:rFonts w:ascii="Times New Roman" w:hAnsi="Times New Roman" w:cs="Times New Roman"/>
                <w:b/>
                <w:sz w:val="16"/>
                <w:szCs w:val="16"/>
                <w:lang w:val="it-IT"/>
              </w:rPr>
            </w:pPr>
          </w:p>
          <w:p w14:paraId="7610E0C4" w14:textId="3CE8DCBE" w:rsidR="0053785B" w:rsidRPr="0053785B" w:rsidRDefault="0053785B" w:rsidP="0053785B">
            <w:pPr>
              <w:jc w:val="center"/>
              <w:rPr>
                <w:rFonts w:ascii="Times New Roman" w:hAnsi="Times New Roman" w:cs="Times New Roman"/>
                <w:b/>
                <w:sz w:val="24"/>
                <w:szCs w:val="24"/>
                <w:lang w:val="it-IT"/>
              </w:rPr>
            </w:pPr>
            <w:r w:rsidRPr="0053785B">
              <w:rPr>
                <w:rFonts w:ascii="Times New Roman" w:hAnsi="Times New Roman" w:cs="Times New Roman"/>
                <w:b/>
                <w:sz w:val="24"/>
                <w:szCs w:val="24"/>
                <w:lang w:val="it-IT"/>
              </w:rPr>
              <w:t>INFORMAZIONI ALLA PERSONA OFFESA</w:t>
            </w:r>
            <w:r w:rsidR="00FE0A53">
              <w:rPr>
                <w:rFonts w:ascii="Times New Roman" w:hAnsi="Times New Roman" w:cs="Times New Roman"/>
                <w:b/>
                <w:sz w:val="24"/>
                <w:szCs w:val="24"/>
                <w:lang w:val="it-IT"/>
              </w:rPr>
              <w:t xml:space="preserve"> DAL REATO</w:t>
            </w:r>
          </w:p>
          <w:p w14:paraId="008BB1B3" w14:textId="1BD5ECC9" w:rsidR="0053785B" w:rsidRPr="0053785B" w:rsidRDefault="0053785B" w:rsidP="0053785B">
            <w:pPr>
              <w:spacing w:after="120"/>
              <w:jc w:val="center"/>
              <w:rPr>
                <w:rFonts w:ascii="Times New Roman" w:hAnsi="Times New Roman" w:cs="Times New Roman"/>
                <w:i/>
                <w:sz w:val="24"/>
                <w:lang w:val="it-IT"/>
              </w:rPr>
            </w:pPr>
            <w:r w:rsidRPr="0053785B">
              <w:rPr>
                <w:rFonts w:ascii="Times New Roman" w:hAnsi="Times New Roman" w:cs="Times New Roman"/>
                <w:b/>
                <w:sz w:val="24"/>
                <w:lang w:val="it-IT"/>
              </w:rPr>
              <w:t xml:space="preserve">~  </w:t>
            </w:r>
            <w:r w:rsidRPr="0053785B">
              <w:rPr>
                <w:rFonts w:ascii="Times New Roman" w:hAnsi="Times New Roman" w:cs="Times New Roman"/>
                <w:i/>
                <w:sz w:val="24"/>
                <w:lang w:val="it-IT"/>
              </w:rPr>
              <w:t>artt. 90</w:t>
            </w:r>
            <w:r w:rsidR="00FE0A53">
              <w:rPr>
                <w:rFonts w:ascii="Times New Roman" w:hAnsi="Times New Roman" w:cs="Times New Roman"/>
                <w:i/>
                <w:sz w:val="24"/>
                <w:lang w:val="it-IT"/>
              </w:rPr>
              <w:t>,</w:t>
            </w:r>
            <w:r w:rsidRPr="0053785B">
              <w:rPr>
                <w:rFonts w:ascii="Times New Roman" w:hAnsi="Times New Roman" w:cs="Times New Roman"/>
                <w:i/>
                <w:sz w:val="24"/>
                <w:lang w:val="it-IT"/>
              </w:rPr>
              <w:t xml:space="preserve"> 90 bis </w:t>
            </w:r>
            <w:r w:rsidR="00FE0A53">
              <w:rPr>
                <w:rFonts w:ascii="Times New Roman" w:hAnsi="Times New Roman" w:cs="Times New Roman"/>
                <w:i/>
                <w:sz w:val="24"/>
                <w:lang w:val="it-IT"/>
              </w:rPr>
              <w:t xml:space="preserve">e 90 bis1 </w:t>
            </w:r>
            <w:r w:rsidRPr="0053785B">
              <w:rPr>
                <w:rFonts w:ascii="Times New Roman" w:hAnsi="Times New Roman" w:cs="Times New Roman"/>
                <w:i/>
                <w:sz w:val="24"/>
                <w:lang w:val="it-IT"/>
              </w:rPr>
              <w:t xml:space="preserve">c.p.p. </w:t>
            </w:r>
            <w:r w:rsidRPr="0053785B">
              <w:rPr>
                <w:rFonts w:ascii="Times New Roman" w:hAnsi="Times New Roman" w:cs="Times New Roman"/>
                <w:b/>
                <w:sz w:val="24"/>
                <w:lang w:val="it-IT"/>
              </w:rPr>
              <w:t>~</w:t>
            </w:r>
          </w:p>
        </w:tc>
      </w:tr>
    </w:tbl>
    <w:p w14:paraId="721FEB8A" w14:textId="77777777" w:rsidR="00BF5CE1" w:rsidRPr="00AA4E45" w:rsidRDefault="00BF5CE1" w:rsidP="00BF5CE1">
      <w:pPr>
        <w:spacing w:after="0" w:line="240" w:lineRule="auto"/>
        <w:rPr>
          <w:rFonts w:ascii="Times New Roman" w:hAnsi="Times New Roman" w:cs="Times New Roman"/>
          <w:sz w:val="16"/>
          <w:szCs w:val="16"/>
        </w:rPr>
      </w:pPr>
    </w:p>
    <w:p w14:paraId="4D9BEF07" w14:textId="34BC459F" w:rsidR="00BF5CE1" w:rsidRDefault="00D01E85" w:rsidP="003A7AA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In relazione alla denuncia</w:t>
      </w:r>
      <w:r w:rsidR="0053785B">
        <w:rPr>
          <w:rFonts w:ascii="Times New Roman" w:hAnsi="Times New Roman" w:cs="Times New Roman"/>
          <w:sz w:val="24"/>
          <w:szCs w:val="24"/>
        </w:rPr>
        <w:t xml:space="preserve"> e</w:t>
      </w:r>
      <w:r>
        <w:rPr>
          <w:rFonts w:ascii="Times New Roman" w:hAnsi="Times New Roman" w:cs="Times New Roman"/>
          <w:sz w:val="24"/>
          <w:szCs w:val="24"/>
        </w:rPr>
        <w:t>/</w:t>
      </w:r>
      <w:r w:rsidR="0053785B">
        <w:rPr>
          <w:rFonts w:ascii="Times New Roman" w:hAnsi="Times New Roman" w:cs="Times New Roman"/>
          <w:sz w:val="24"/>
          <w:szCs w:val="24"/>
        </w:rPr>
        <w:t xml:space="preserve">o </w:t>
      </w:r>
      <w:r>
        <w:rPr>
          <w:rFonts w:ascii="Times New Roman" w:hAnsi="Times New Roman" w:cs="Times New Roman"/>
          <w:sz w:val="24"/>
          <w:szCs w:val="24"/>
        </w:rPr>
        <w:t xml:space="preserve">querela </w:t>
      </w:r>
      <w:r w:rsidR="0053785B">
        <w:rPr>
          <w:rFonts w:ascii="Times New Roman" w:hAnsi="Times New Roman" w:cs="Times New Roman"/>
          <w:sz w:val="24"/>
          <w:szCs w:val="24"/>
        </w:rPr>
        <w:t xml:space="preserve">da Lei </w:t>
      </w:r>
      <w:r>
        <w:rPr>
          <w:rFonts w:ascii="Times New Roman" w:hAnsi="Times New Roman" w:cs="Times New Roman"/>
          <w:sz w:val="24"/>
          <w:szCs w:val="24"/>
        </w:rPr>
        <w:t>presentata</w:t>
      </w:r>
      <w:r w:rsidR="003A7AA0">
        <w:rPr>
          <w:rFonts w:ascii="Times New Roman" w:hAnsi="Times New Roman" w:cs="Times New Roman"/>
          <w:sz w:val="24"/>
          <w:szCs w:val="24"/>
        </w:rPr>
        <w:t xml:space="preserve"> in questo Ufficio</w:t>
      </w:r>
      <w:r>
        <w:rPr>
          <w:rFonts w:ascii="Times New Roman" w:hAnsi="Times New Roman" w:cs="Times New Roman"/>
          <w:sz w:val="24"/>
          <w:szCs w:val="24"/>
        </w:rPr>
        <w:t xml:space="preserve">, si </w:t>
      </w:r>
      <w:r w:rsidR="00FE0A53">
        <w:rPr>
          <w:rFonts w:ascii="Times New Roman" w:hAnsi="Times New Roman" w:cs="Times New Roman"/>
          <w:sz w:val="24"/>
          <w:szCs w:val="24"/>
        </w:rPr>
        <w:t>rendono le seguenti informazioni</w:t>
      </w:r>
      <w:r w:rsidR="00BF5CE1">
        <w:rPr>
          <w:rFonts w:ascii="Times New Roman" w:hAnsi="Times New Roman" w:cs="Times New Roman"/>
          <w:sz w:val="24"/>
          <w:szCs w:val="24"/>
        </w:rPr>
        <w:t>:</w:t>
      </w:r>
    </w:p>
    <w:p w14:paraId="722DB256" w14:textId="77777777" w:rsidR="0053785B" w:rsidRPr="0053785B" w:rsidRDefault="0053785B" w:rsidP="0053785B">
      <w:pPr>
        <w:shd w:val="clear" w:color="auto" w:fill="FFFFFF"/>
        <w:spacing w:after="0" w:line="240" w:lineRule="auto"/>
        <w:jc w:val="both"/>
        <w:textAlignment w:val="baseline"/>
        <w:rPr>
          <w:rFonts w:ascii="Times New Roman" w:eastAsia="Times New Roman" w:hAnsi="Times New Roman" w:cs="Times New Roman"/>
          <w:bCs/>
          <w:lang w:eastAsia="it-IT"/>
        </w:rPr>
      </w:pPr>
    </w:p>
    <w:p w14:paraId="5E1F826E"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ha diritto di ricevere, anche in una lingua a Lei comprensibile, le sottoindicate informazioni;</w:t>
      </w:r>
    </w:p>
    <w:p w14:paraId="79DB9318"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ha i medesimi diritti del cittadino italiano nel caso in cui risieda in uno Stato membro dell'Unione europea diverso da quello in cui è stato commesso il reato;</w:t>
      </w:r>
    </w:p>
    <w:p w14:paraId="77A6F773"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ha facoltà di dichiarare o eleggere domicilio; ai fini della dichiarazione di domicilio, può indicare un indirizzo di posta elettronica certificata o altro servizio elettronico di recapito certificato qualificato;</w:t>
      </w:r>
    </w:p>
    <w:p w14:paraId="5B70012B"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ha comunque la facoltà, qualora abbia presentato querela, ove non abbia provveduto all’atto di presentazione della querela, di dichiarare o eleggere domicilio anche successivamente alla formulazione della querela, con dichiarazione raccolta a verbale o depositata con le modalità telematiche previste dall’art. 111-bis c.p.p. (quando entrerà in vigore), ovvero mediante telegramma o lettera raccomandata con sottoscrizione autenticata da un notaio, da altra persona autorizzata o dal difensore; tale dichiarazione può essere effettuata presso la segreteria del Pubblico Ministero procedente o presso la cancelleria del Giudice procedente;</w:t>
      </w:r>
    </w:p>
    <w:p w14:paraId="72E9BB57"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ha l’obbligo, qualora abbia presentato querela, di dichiarare o eleggere domicilio per la comunicazione e la notificazione degli atti del procedimento; a tal fine, ha la facoltà di effettuare la dichiarazione di domicilio anche dichiarando un indirizzo di posta elettronica certificata o altro servizio elettronico di recapito certificato qualificato;</w:t>
      </w:r>
    </w:p>
    <w:p w14:paraId="0BC4E7F4"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ha l’obbligo, qualora abbia presentato querela, in caso di mutamento del domicilio dichiarato o eletto, di comunicare tempestivamente all’autorità giudiziaria procedente e nelle forme prescritte al punto precedente la nuova domiciliazione;</w:t>
      </w:r>
    </w:p>
    <w:p w14:paraId="1C032C1F"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qualora abbia presentato querela e ove abbia nominato un difensore, sarà domiciliata presso quest’ultimo; che, in mancanza di nomina del difensore, le notificazioni saranno eseguite presso il domicilio digitale e, nei casi di cui all’art. 148 co. 4 c.p.p., presso il domicilio dichiarato o eletto;</w:t>
      </w:r>
    </w:p>
    <w:p w14:paraId="40C068BE"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qualora abbia presentato querela, in caso di mancanza, insufficienza o inidoneità della dichiarazione o elezione di domicilio, le notificazioni saranno effettuate mediante deposito presso la segreteria del Pubblico Ministero procedente o presso la cancelleria del Giudice procedente;</w:t>
      </w:r>
    </w:p>
    <w:p w14:paraId="307F25CE"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può presentare, qualora non l’abbia già fatto, in forma scritta o orale, denuncia ai sensi dell’art. 333 c.p.p. o querela ai sensi dell’art. 336 c.p.p. presso qualunque Autorità Giudiziaria o di Polizia, assumendo in tal modo il ruolo di parte offesa, secondo le norme di cui agli artt. 120 e ss. c.p. e 336 e ss. c.p.p., oralmente o per iscritto, personalmente o a mezzo di procuratore speciale, al Pubblico Ministero o a ufficiali di polizia giudiziaria;</w:t>
      </w:r>
    </w:p>
    <w:p w14:paraId="18DA0F14"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ha diritto alle misure di protezione che possono essere disposte in suo favore in quanto persona offesa secondo la normativa vigente, quando la circostanza risulti dagli atti o depositando presso l’autorità procedente apposita istanza;</w:t>
      </w:r>
    </w:p>
    <w:p w14:paraId="0081316F"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per ottenere informazioni può anche rivolgersi alle articolazioni di polizia presenti sul territorio di residenza (Stazioni o Compagnie dei Carabinieri, Commissariati di Polizia o Questure), anche sulle possibilità di richiedere idonea protezione, nonché può altresì rivolgersi ai centri antiviolenza ed alle strutture sanitarie;</w:t>
      </w:r>
    </w:p>
    <w:p w14:paraId="77522784"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ha il diritto ad avere conoscenza della data, del luogo del processo e dell’imputazione e, ove si costituisca parte civile nel processo (non nel corso delle indagini) per esercitare il diritto al risarcimento dei danni, ha diritto a ricevere notifica della sentenza, anche per estratto;</w:t>
      </w:r>
    </w:p>
    <w:p w14:paraId="25C2FC00"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 xml:space="preserve">ha la facoltà di ricevere comunicazione dalla Procura della Repubblica dello stato del procedimento e delle iscrizioni di cui all’art. 335, commi 1 e 2 e 3 </w:t>
      </w:r>
      <w:r w:rsidRPr="003A7AA0">
        <w:rPr>
          <w:rFonts w:ascii="Times New Roman" w:eastAsia="Times New Roman" w:hAnsi="Times New Roman" w:cs="Times New Roman"/>
          <w:i/>
          <w:sz w:val="20"/>
          <w:szCs w:val="20"/>
          <w:lang w:eastAsia="it-IT"/>
        </w:rPr>
        <w:t>ter</w:t>
      </w:r>
      <w:r w:rsidRPr="003A7AA0">
        <w:rPr>
          <w:rFonts w:ascii="Times New Roman" w:eastAsia="Times New Roman" w:hAnsi="Times New Roman" w:cs="Times New Roman"/>
          <w:sz w:val="20"/>
          <w:szCs w:val="20"/>
          <w:lang w:eastAsia="it-IT"/>
        </w:rPr>
        <w:t xml:space="preserve"> c.p.p.;</w:t>
      </w:r>
    </w:p>
    <w:p w14:paraId="444A538E" w14:textId="77777777" w:rsidR="003A7AA0" w:rsidRPr="003A7AA0" w:rsidRDefault="003A7AA0" w:rsidP="003A7AA0">
      <w:pPr>
        <w:numPr>
          <w:ilvl w:val="0"/>
          <w:numId w:val="2"/>
        </w:numPr>
        <w:spacing w:after="0" w:line="240" w:lineRule="auto"/>
        <w:ind w:left="284" w:hanging="284"/>
        <w:contextualSpacing/>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senza pregiudizio del segreto investigativo, decorsi sei mesi dalla data di presentazione della denuncia, ovvero della querela, può chiedere di essere informata dall’Autorità che ha in carico il procedimento circa lo stato del medesimo;</w:t>
      </w:r>
    </w:p>
    <w:p w14:paraId="72745A54"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ha la facoltà di essere avvisata della richiesta di archiviazione, qualora ne faccia richiesta, ai sensi dell’art. 408 c.p.p. e della conclusione delle indagini, ai sensi dell’art. 415 bis c.p.p. e, in ogni caso, ha diritto ad essere avvisata della richiesta di archiviazione in relazione ai delitti commessi con violenza alla persona e per il reato di furto in abitazione e di furto con strappo e può presentare opposizione avverso la richiesta di archiviazione;</w:t>
      </w:r>
    </w:p>
    <w:p w14:paraId="74BA505C"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 xml:space="preserve">è titolare di </w:t>
      </w:r>
      <w:r w:rsidRPr="003A7AA0">
        <w:rPr>
          <w:rFonts w:ascii="Times New Roman" w:eastAsia="Times New Roman" w:hAnsi="Times New Roman" w:cs="Times New Roman"/>
          <w:sz w:val="20"/>
          <w:szCs w:val="20"/>
        </w:rPr>
        <w:t xml:space="preserve">diritti e facoltà in caso di inosservanza da parte del Pubblico Ministero dei termini per la conclusione delle indagini preliminari (di cui all’art. 415 </w:t>
      </w:r>
      <w:r w:rsidRPr="003A7AA0">
        <w:rPr>
          <w:rFonts w:ascii="Times New Roman" w:eastAsia="Times New Roman" w:hAnsi="Times New Roman" w:cs="Times New Roman"/>
          <w:i/>
          <w:sz w:val="20"/>
          <w:szCs w:val="20"/>
        </w:rPr>
        <w:t>ter</w:t>
      </w:r>
      <w:r w:rsidRPr="003A7AA0">
        <w:rPr>
          <w:rFonts w:ascii="Times New Roman" w:eastAsia="Times New Roman" w:hAnsi="Times New Roman" w:cs="Times New Roman"/>
          <w:sz w:val="20"/>
          <w:szCs w:val="20"/>
        </w:rPr>
        <w:t xml:space="preserve"> c.p.p.) tra cui, in particolare, il diritto al deposito degli atti in caso di mancato tempestivo esercizio dell’azione penale o deposito della richiesta di archiviazione;</w:t>
      </w:r>
    </w:p>
    <w:p w14:paraId="2AA9BF67"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in quanto persona offesa dal reato, può nominare un difensore nelle forme previste dall’art. 101 c.p.p., anche per lo svolgimento di indagini difensive, nonché nominare propri consulenti;</w:t>
      </w:r>
    </w:p>
    <w:p w14:paraId="4D208E23"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lastRenderedPageBreak/>
        <w:t xml:space="preserve">ha la facoltà di avvalersi della consulenza legale e del patrocinio a spese dello Stato, così come previsto dall’art. 98 c.p.p.; in particolare, ha la possibilità dell’accesso al patrocinio a spese dello Stato ai sensi dell’art. 76 T.U. spese di giustizia di cui al D.P.R. 115/2002 e successive modificazioni, se sussistono i requisiti normativi previsti (in particolare, essere titolare di reddito imponibile ai fini IRPEF risultante dall’ultima dichiarazione non superiore ad €uro 11.528,41, </w:t>
      </w:r>
      <w:r w:rsidRPr="003A7AA0">
        <w:rPr>
          <w:rFonts w:ascii="Times New Roman" w:eastAsia="Times New Roman" w:hAnsi="Times New Roman" w:cs="Times New Roman"/>
          <w:i/>
          <w:sz w:val="20"/>
          <w:szCs w:val="20"/>
          <w:lang w:eastAsia="it-IT"/>
        </w:rPr>
        <w:t xml:space="preserve">ex </w:t>
      </w:r>
      <w:r w:rsidRPr="003A7AA0">
        <w:rPr>
          <w:rFonts w:ascii="Times New Roman" w:eastAsia="Times New Roman" w:hAnsi="Times New Roman" w:cs="Times New Roman"/>
          <w:sz w:val="20"/>
          <w:szCs w:val="20"/>
          <w:lang w:eastAsia="it-IT"/>
        </w:rPr>
        <w:t>art. 76 co. 1 d.P.R. n. 115/02 [così come adeguato con decreto del 7 maggio 2015 (pubblicato in G.U. n. 186 del 12.08.2015)]; se l’interessato convive con il coniuge o con altri familiari, il reddito sarà costituito dalla somma dei redditi conseguiti nel medesimo periodo da ogni componente il nucleo familiare e i limiti sopra indicati elevati di €uro 1.032,91 per ciascuno dei familiari conviventi);</w:t>
      </w:r>
    </w:p>
    <w:p w14:paraId="74F9A5A2"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qualora non capisca la lingua italiana, ha diritto all’interpretazione e alla traduzione di atti del procedimento secondo le modalità di cui al codice di procedura penale;</w:t>
      </w:r>
    </w:p>
    <w:p w14:paraId="28543EA6"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 xml:space="preserve">ha diritto ad essere avvisata </w:t>
      </w:r>
      <w:r w:rsidRPr="003A7AA0">
        <w:rPr>
          <w:rFonts w:ascii="Times New Roman" w:eastAsia="Times New Roman" w:hAnsi="Times New Roman" w:cs="Times New Roman"/>
          <w:i/>
          <w:sz w:val="20"/>
          <w:szCs w:val="20"/>
          <w:lang w:eastAsia="it-IT"/>
        </w:rPr>
        <w:t>ex</w:t>
      </w:r>
      <w:r w:rsidRPr="003A7AA0">
        <w:rPr>
          <w:rFonts w:ascii="Times New Roman" w:eastAsia="Times New Roman" w:hAnsi="Times New Roman" w:cs="Times New Roman"/>
          <w:sz w:val="20"/>
          <w:szCs w:val="20"/>
          <w:lang w:eastAsia="it-IT"/>
        </w:rPr>
        <w:t xml:space="preserve"> art. 299 comma 2-</w:t>
      </w:r>
      <w:r w:rsidRPr="003A7AA0">
        <w:rPr>
          <w:rFonts w:ascii="Times New Roman" w:eastAsia="Times New Roman" w:hAnsi="Times New Roman" w:cs="Times New Roman"/>
          <w:i/>
          <w:sz w:val="20"/>
          <w:szCs w:val="20"/>
          <w:lang w:eastAsia="it-IT"/>
        </w:rPr>
        <w:t>bis</w:t>
      </w:r>
      <w:r w:rsidRPr="003A7AA0">
        <w:rPr>
          <w:rFonts w:ascii="Times New Roman" w:eastAsia="Times New Roman" w:hAnsi="Times New Roman" w:cs="Times New Roman"/>
          <w:sz w:val="20"/>
          <w:szCs w:val="20"/>
          <w:lang w:eastAsia="it-IT"/>
        </w:rPr>
        <w:t xml:space="preserve"> c.p.p. della revoca o della sostituzione di misure cautelari a carico dell’indagato/imputato e dell’eventuale evasione del medesimo, in relazione a delitti commessi con violenza alla persona;</w:t>
      </w:r>
    </w:p>
    <w:p w14:paraId="42F43774"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è titolare dei diritti riconosciuti dalla legge nel caso in cui risieda in uno Stato membro dell’Unione Europea diverso da quello in cui è stato commesso il reato;</w:t>
      </w:r>
    </w:p>
    <w:p w14:paraId="2E002C1E"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può contestare la violazione dei propri diritti secondo le forme e modalità previste dalla normativa vigente; in particolare, può depositare istanze o memorie alle Autorità indicate nel punto precedente qualora ritenga sussistenti eventuali violazioni dei propri diritti;</w:t>
      </w:r>
    </w:p>
    <w:p w14:paraId="57A93F9B"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in presenza dei relativi presupposti di legge, può chiedere ed ottenere il rimborso delle spese sostenute in relazione alla partecipazione al procedimento penale;</w:t>
      </w:r>
    </w:p>
    <w:p w14:paraId="12FA0CCE"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può chiedere il risarcimento dei danni derivanti dal reato;</w:t>
      </w:r>
    </w:p>
    <w:p w14:paraId="1DC9F91B"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ha la possibilità che il procedimento sia definito con remissione di querela di cui all’art. 152 c.p., ove possibile;</w:t>
      </w:r>
    </w:p>
    <w:p w14:paraId="6866321C"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nei procedimenti in cui la persona imputata formula richiesta di sospensione del procedimento con messa alla prova possono essere imposti obblighi a favore della persona offesa secondo la normativa vigente;</w:t>
      </w:r>
    </w:p>
    <w:p w14:paraId="339D49F1"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nei procedimenti in cui è applicabile la causa di esclusione della punibilità dell’indagato/imputato per particolare tenuità del fatto riceverà avviso della richiesta di archiviazione;</w:t>
      </w:r>
    </w:p>
    <w:p w14:paraId="342A805D"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può rimettere ai sensi dell’art. 152 c.p. la querela presentata (qualora la possibilità di remissione non sia esclusa da specifiche fattispecie di reato) e la remissione, qualora accettata, estingue il reato;</w:t>
      </w:r>
    </w:p>
    <w:p w14:paraId="5D8B3325"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qualora abbia presentato querela, la mancata comparizione senza giustificato motivo all’udienza alla quale sia stata citata in qualità di testimone comporta la remissione tacita di querela, che comporta l’estinzione del reato;</w:t>
      </w:r>
    </w:p>
    <w:p w14:paraId="4035F798"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sz w:val="20"/>
          <w:szCs w:val="20"/>
          <w:lang w:eastAsia="it-IT"/>
        </w:rPr>
      </w:pPr>
      <w:r w:rsidRPr="003A7AA0">
        <w:rPr>
          <w:rFonts w:ascii="Times New Roman" w:eastAsia="Times New Roman" w:hAnsi="Times New Roman" w:cs="Times New Roman"/>
          <w:sz w:val="20"/>
          <w:szCs w:val="20"/>
          <w:lang w:eastAsia="it-IT"/>
        </w:rPr>
        <w:t>può richiedere all’Autorità Procedente informazioni, in ipotesi di reati commessi con violenza o minaccia, sulle strutture sanitarie presenti sul territorio, sulle casa famiglia, sui centri antiviolenza e sulle case rifugio;</w:t>
      </w:r>
    </w:p>
    <w:p w14:paraId="7168644C"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ha la facoltà di accedere ai programmi di giustizia riparativa;</w:t>
      </w:r>
    </w:p>
    <w:p w14:paraId="4CDCAEE5" w14:textId="77777777" w:rsidR="003A7AA0" w:rsidRPr="003A7AA0" w:rsidRDefault="003A7AA0" w:rsidP="003A7AA0">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qualora sia vittima del reato di cui all’articolo 42, co. 1, lettera b) , del d.lgs. attuativo della legge 27 settembre 2021 n. 134 (ovverosia sia la persona fisica che ha subito direttamente dal reato qualunque danno patrimoniale o non patrimoniale, ovverosia sia il familiare della persona fisica la cui  morte è stata causata dal reato e che ha subito un  danno  in  conseguenza della morte di tale persona), sin dal primo contatto con l’autorità procedente ha diritto ad essere informata in una lingua a Lei comprensibile della facoltà di svolgere un programma di giustizia riparativa;</w:t>
      </w:r>
    </w:p>
    <w:p w14:paraId="56712B88" w14:textId="2CB4C439" w:rsidR="00FE0A53" w:rsidRPr="00D83CD4" w:rsidRDefault="003A7AA0" w:rsidP="00D83CD4">
      <w:pPr>
        <w:numPr>
          <w:ilvl w:val="0"/>
          <w:numId w:val="2"/>
        </w:numPr>
        <w:spacing w:after="0" w:line="240" w:lineRule="auto"/>
        <w:ind w:left="284" w:hanging="284"/>
        <w:contextualSpacing/>
        <w:jc w:val="both"/>
        <w:rPr>
          <w:rFonts w:ascii="Times New Roman" w:eastAsia="Times New Roman" w:hAnsi="Times New Roman" w:cs="Times New Roman"/>
          <w:b/>
          <w:sz w:val="20"/>
          <w:szCs w:val="20"/>
          <w:lang w:eastAsia="it-IT"/>
        </w:rPr>
      </w:pPr>
      <w:r w:rsidRPr="003A7AA0">
        <w:rPr>
          <w:rFonts w:ascii="Times New Roman" w:eastAsia="Times New Roman" w:hAnsi="Times New Roman" w:cs="Times New Roman"/>
          <w:b/>
          <w:sz w:val="20"/>
          <w:szCs w:val="20"/>
          <w:lang w:eastAsia="it-IT"/>
        </w:rPr>
        <w:t>qualora abbia presentato querela, la partecipazione in qualità di querelante a un programma di giustizia riparativa, concluso con un esito riparativo e con il rispetto degli eventuali impegni comportamentali assunti da parte dell’imputato, comporta la remissione tacita di querela</w:t>
      </w:r>
      <w:r w:rsidR="00D83CD4">
        <w:rPr>
          <w:rFonts w:ascii="Times New Roman" w:eastAsia="Times New Roman" w:hAnsi="Times New Roman" w:cs="Times New Roman"/>
          <w:b/>
          <w:sz w:val="20"/>
          <w:szCs w:val="20"/>
          <w:lang w:eastAsia="it-IT"/>
        </w:rPr>
        <w:t>.</w:t>
      </w:r>
    </w:p>
    <w:p w14:paraId="144A3633" w14:textId="77777777" w:rsidR="0053785B" w:rsidRPr="0053785B" w:rsidRDefault="0053785B" w:rsidP="0053785B">
      <w:pPr>
        <w:spacing w:after="0" w:line="240" w:lineRule="auto"/>
        <w:ind w:firstLine="708"/>
        <w:jc w:val="both"/>
        <w:rPr>
          <w:rFonts w:ascii="Times New Roman" w:eastAsia="Times New Roman" w:hAnsi="Times New Roman" w:cs="Times New Roman"/>
          <w:sz w:val="24"/>
          <w:lang w:eastAsia="it-IT"/>
        </w:rPr>
      </w:pPr>
    </w:p>
    <w:p w14:paraId="7E0E0A88" w14:textId="77777777" w:rsidR="0053785B" w:rsidRDefault="0053785B" w:rsidP="00741403">
      <w:pPr>
        <w:spacing w:after="0" w:line="240" w:lineRule="auto"/>
        <w:rPr>
          <w:rFonts w:ascii="Times New Roman" w:hAnsi="Times New Roman" w:cs="Times New Roman"/>
          <w:sz w:val="24"/>
          <w:szCs w:val="24"/>
        </w:rPr>
      </w:pPr>
    </w:p>
    <w:p w14:paraId="7BB6F299" w14:textId="77777777" w:rsidR="00D01E85" w:rsidRDefault="00047E8E" w:rsidP="00741403">
      <w:pPr>
        <w:spacing w:after="0" w:line="360" w:lineRule="auto"/>
        <w:rPr>
          <w:rFonts w:ascii="Times New Roman" w:hAnsi="Times New Roman" w:cs="Times New Roman"/>
          <w:sz w:val="24"/>
          <w:szCs w:val="24"/>
        </w:rPr>
      </w:pPr>
      <w:r>
        <w:rPr>
          <w:rFonts w:ascii="Times New Roman" w:hAnsi="Times New Roman" w:cs="Times New Roman"/>
          <w:sz w:val="24"/>
          <w:szCs w:val="24"/>
        </w:rPr>
        <w:t>Per ricevuta</w:t>
      </w:r>
      <w:r w:rsidR="00D01E85">
        <w:rPr>
          <w:rFonts w:ascii="Times New Roman" w:hAnsi="Times New Roman" w:cs="Times New Roman"/>
          <w:sz w:val="24"/>
          <w:szCs w:val="24"/>
        </w:rPr>
        <w:t xml:space="preserve"> copia del presente avviso</w:t>
      </w:r>
      <w:r w:rsidR="0060173B">
        <w:rPr>
          <w:rFonts w:ascii="Times New Roman" w:hAnsi="Times New Roman" w:cs="Times New Roman"/>
          <w:sz w:val="24"/>
          <w:szCs w:val="24"/>
        </w:rPr>
        <w:t>:</w:t>
      </w:r>
    </w:p>
    <w:p w14:paraId="2310D947" w14:textId="77777777" w:rsidR="00B72412" w:rsidRDefault="00B72412" w:rsidP="00741403">
      <w:pPr>
        <w:spacing w:after="0" w:line="360" w:lineRule="auto"/>
        <w:rPr>
          <w:rFonts w:ascii="Times New Roman" w:hAnsi="Times New Roman" w:cs="Times New Roman"/>
          <w:sz w:val="24"/>
          <w:szCs w:val="24"/>
        </w:rPr>
      </w:pPr>
    </w:p>
    <w:p w14:paraId="3485C6B4" w14:textId="2C682174" w:rsidR="00047E8E" w:rsidRDefault="00D83CD4" w:rsidP="0074140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Il denunciante/querelante </w:t>
      </w:r>
      <w:r w:rsidR="00D01E85">
        <w:rPr>
          <w:rFonts w:ascii="Times New Roman" w:hAnsi="Times New Roman" w:cs="Times New Roman"/>
          <w:sz w:val="24"/>
          <w:szCs w:val="24"/>
        </w:rPr>
        <w:t>______________________________</w:t>
      </w:r>
    </w:p>
    <w:p w14:paraId="48E28520" w14:textId="77777777" w:rsidR="00B72412" w:rsidRDefault="00B72412" w:rsidP="00741403">
      <w:pPr>
        <w:spacing w:after="0" w:line="360" w:lineRule="auto"/>
        <w:rPr>
          <w:rFonts w:ascii="Times New Roman" w:hAnsi="Times New Roman" w:cs="Times New Roman"/>
          <w:sz w:val="24"/>
          <w:szCs w:val="24"/>
        </w:rPr>
      </w:pPr>
    </w:p>
    <w:p w14:paraId="7D908A90" w14:textId="6DFF64D6" w:rsidR="00741403" w:rsidRDefault="00D83CD4" w:rsidP="007414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w:t>
      </w:r>
      <w:r w:rsidR="00D01E85">
        <w:rPr>
          <w:rFonts w:ascii="Times New Roman" w:hAnsi="Times New Roman" w:cs="Times New Roman"/>
          <w:sz w:val="24"/>
          <w:szCs w:val="24"/>
        </w:rPr>
        <w:t>, ____________</w:t>
      </w:r>
      <w:r w:rsidR="00741403">
        <w:rPr>
          <w:rFonts w:ascii="Times New Roman" w:hAnsi="Times New Roman" w:cs="Times New Roman"/>
          <w:sz w:val="24"/>
          <w:szCs w:val="24"/>
        </w:rPr>
        <w:tab/>
      </w:r>
    </w:p>
    <w:p w14:paraId="462905E8" w14:textId="77777777" w:rsidR="006873DE" w:rsidRDefault="006873DE" w:rsidP="00741403">
      <w:pPr>
        <w:spacing w:after="0" w:line="360" w:lineRule="auto"/>
        <w:jc w:val="both"/>
        <w:rPr>
          <w:rFonts w:ascii="Times New Roman" w:hAnsi="Times New Roman" w:cs="Times New Roman"/>
          <w:sz w:val="24"/>
          <w:szCs w:val="24"/>
        </w:rPr>
      </w:pPr>
    </w:p>
    <w:p w14:paraId="2921CE21" w14:textId="77777777" w:rsidR="006873DE" w:rsidRDefault="006873DE" w:rsidP="00741403">
      <w:pPr>
        <w:spacing w:after="0" w:line="360" w:lineRule="auto"/>
        <w:jc w:val="both"/>
        <w:rPr>
          <w:rFonts w:ascii="Times New Roman" w:hAnsi="Times New Roman" w:cs="Times New Roman"/>
          <w:sz w:val="24"/>
          <w:szCs w:val="24"/>
        </w:rPr>
      </w:pPr>
    </w:p>
    <w:p w14:paraId="2D20A595" w14:textId="3CF62A85" w:rsidR="00D01E85" w:rsidRDefault="00741403" w:rsidP="007414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0A53">
        <w:rPr>
          <w:rFonts w:ascii="Times New Roman" w:hAnsi="Times New Roman" w:cs="Times New Roman"/>
          <w:sz w:val="24"/>
          <w:szCs w:val="24"/>
        </w:rPr>
        <w:t xml:space="preserve">          </w:t>
      </w:r>
      <w:r w:rsidR="00B72412">
        <w:rPr>
          <w:rFonts w:ascii="Times New Roman" w:hAnsi="Times New Roman" w:cs="Times New Roman"/>
          <w:sz w:val="24"/>
          <w:szCs w:val="24"/>
        </w:rPr>
        <w:t xml:space="preserve">L’Ufficiale/Agente di </w:t>
      </w:r>
      <w:r w:rsidR="00126907">
        <w:rPr>
          <w:rFonts w:ascii="Times New Roman" w:hAnsi="Times New Roman" w:cs="Times New Roman"/>
          <w:sz w:val="24"/>
          <w:szCs w:val="24"/>
        </w:rPr>
        <w:t>P.G.</w:t>
      </w:r>
    </w:p>
    <w:p w14:paraId="1F66226A" w14:textId="77777777" w:rsidR="00B72412" w:rsidRDefault="00B72412" w:rsidP="00741403">
      <w:pPr>
        <w:spacing w:after="0" w:line="360" w:lineRule="auto"/>
        <w:jc w:val="both"/>
        <w:rPr>
          <w:rFonts w:ascii="Times New Roman" w:hAnsi="Times New Roman" w:cs="Times New Roman"/>
          <w:sz w:val="24"/>
          <w:szCs w:val="24"/>
        </w:rPr>
      </w:pPr>
    </w:p>
    <w:p w14:paraId="587D14ED" w14:textId="77777777" w:rsidR="004B0028" w:rsidRDefault="00D01E85" w:rsidP="00126907">
      <w:pPr>
        <w:spacing w:after="0" w:line="360" w:lineRule="auto"/>
        <w:ind w:right="849"/>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1403">
        <w:rPr>
          <w:rFonts w:ascii="Times New Roman" w:hAnsi="Times New Roman" w:cs="Times New Roman"/>
          <w:sz w:val="24"/>
          <w:szCs w:val="24"/>
        </w:rPr>
        <w:t xml:space="preserve">  </w:t>
      </w:r>
      <w:r>
        <w:rPr>
          <w:rFonts w:ascii="Times New Roman" w:hAnsi="Times New Roman" w:cs="Times New Roman"/>
          <w:sz w:val="24"/>
          <w:szCs w:val="24"/>
        </w:rPr>
        <w:tab/>
      </w:r>
      <w:r w:rsidR="0074140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741403">
        <w:rPr>
          <w:rFonts w:ascii="Times New Roman" w:hAnsi="Times New Roman" w:cs="Times New Roman"/>
          <w:sz w:val="24"/>
          <w:szCs w:val="24"/>
        </w:rPr>
        <w:t xml:space="preserve"> </w:t>
      </w:r>
      <w:r>
        <w:rPr>
          <w:rFonts w:ascii="Times New Roman" w:hAnsi="Times New Roman" w:cs="Times New Roman"/>
          <w:sz w:val="24"/>
          <w:szCs w:val="24"/>
        </w:rPr>
        <w:t>_____________________</w:t>
      </w:r>
    </w:p>
    <w:sectPr w:rsidR="004B0028" w:rsidSect="0053785B">
      <w:pgSz w:w="11906" w:h="16838"/>
      <w:pgMar w:top="709"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8AB"/>
    <w:multiLevelType w:val="hybridMultilevel"/>
    <w:tmpl w:val="618A4EA0"/>
    <w:lvl w:ilvl="0" w:tplc="6CEC3AC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A822B0"/>
    <w:multiLevelType w:val="hybridMultilevel"/>
    <w:tmpl w:val="23E6AEDE"/>
    <w:lvl w:ilvl="0" w:tplc="85EAE350">
      <w:start w:val="1"/>
      <w:numFmt w:val="decimalZer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44538270">
    <w:abstractNumId w:val="0"/>
  </w:num>
  <w:num w:numId="2" w16cid:durableId="1281230402">
    <w:abstractNumId w:val="1"/>
  </w:num>
  <w:num w:numId="3" w16cid:durableId="479274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1112F4"/>
    <w:rsid w:val="00034A97"/>
    <w:rsid w:val="00047E8E"/>
    <w:rsid w:val="001112F4"/>
    <w:rsid w:val="00126907"/>
    <w:rsid w:val="00151093"/>
    <w:rsid w:val="00342453"/>
    <w:rsid w:val="003676D0"/>
    <w:rsid w:val="003A7AA0"/>
    <w:rsid w:val="003C031B"/>
    <w:rsid w:val="004509FB"/>
    <w:rsid w:val="004B0028"/>
    <w:rsid w:val="004E47A3"/>
    <w:rsid w:val="0053785B"/>
    <w:rsid w:val="0055205F"/>
    <w:rsid w:val="005521D6"/>
    <w:rsid w:val="0060173B"/>
    <w:rsid w:val="006535E6"/>
    <w:rsid w:val="00672C2D"/>
    <w:rsid w:val="006873DE"/>
    <w:rsid w:val="00721FC2"/>
    <w:rsid w:val="00741403"/>
    <w:rsid w:val="00750F10"/>
    <w:rsid w:val="00874E35"/>
    <w:rsid w:val="00894EFF"/>
    <w:rsid w:val="008E6C35"/>
    <w:rsid w:val="00A44BAD"/>
    <w:rsid w:val="00A77727"/>
    <w:rsid w:val="00AA4E45"/>
    <w:rsid w:val="00AA7F4C"/>
    <w:rsid w:val="00AD0BCA"/>
    <w:rsid w:val="00AD129E"/>
    <w:rsid w:val="00B44B23"/>
    <w:rsid w:val="00B72412"/>
    <w:rsid w:val="00B807F2"/>
    <w:rsid w:val="00BF5CE1"/>
    <w:rsid w:val="00C26F28"/>
    <w:rsid w:val="00D01E85"/>
    <w:rsid w:val="00D73AED"/>
    <w:rsid w:val="00D83CD4"/>
    <w:rsid w:val="00DB1DCA"/>
    <w:rsid w:val="00E0502A"/>
    <w:rsid w:val="00E1619E"/>
    <w:rsid w:val="00EA6F18"/>
    <w:rsid w:val="00FB6500"/>
    <w:rsid w:val="00FE0A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A3B8"/>
  <w15:docId w15:val="{421B479B-1F9E-4CEE-89F5-7A224F83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12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09FB"/>
    <w:pPr>
      <w:ind w:left="720"/>
      <w:contextualSpacing/>
    </w:pPr>
  </w:style>
  <w:style w:type="paragraph" w:styleId="Testofumetto">
    <w:name w:val="Balloon Text"/>
    <w:basedOn w:val="Normale"/>
    <w:link w:val="TestofumettoCarattere"/>
    <w:uiPriority w:val="99"/>
    <w:semiHidden/>
    <w:unhideWhenUsed/>
    <w:rsid w:val="00BF5C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5CE1"/>
    <w:rPr>
      <w:rFonts w:ascii="Tahoma" w:hAnsi="Tahoma" w:cs="Tahoma"/>
      <w:sz w:val="16"/>
      <w:szCs w:val="16"/>
    </w:rPr>
  </w:style>
  <w:style w:type="table" w:styleId="Grigliatabella">
    <w:name w:val="Table Grid"/>
    <w:basedOn w:val="Tabellanormale"/>
    <w:uiPriority w:val="59"/>
    <w:rsid w:val="0053785B"/>
    <w:pPr>
      <w:spacing w:after="0" w:line="240"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1418</Words>
  <Characters>8087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Saiu</dc:creator>
  <cp:lastModifiedBy>Lello Molinario</cp:lastModifiedBy>
  <cp:revision>19</cp:revision>
  <cp:lastPrinted>2016-05-27T10:58:00Z</cp:lastPrinted>
  <dcterms:created xsi:type="dcterms:W3CDTF">2016-05-25T12:37:00Z</dcterms:created>
  <dcterms:modified xsi:type="dcterms:W3CDTF">2025-02-26T14:17:00Z</dcterms:modified>
</cp:coreProperties>
</file>